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2910" w14:textId="77777777" w:rsidR="009916F0" w:rsidRPr="00A07072" w:rsidRDefault="00726EC6" w:rsidP="00706B8B">
      <w:pPr>
        <w:jc w:val="center"/>
        <w:rPr>
          <w:rFonts w:cstheme="minorHAnsi"/>
          <w:b/>
          <w:color w:val="0070C0"/>
          <w:sz w:val="32"/>
          <w:szCs w:val="32"/>
        </w:rPr>
      </w:pPr>
      <w:r w:rsidRPr="00A07072">
        <w:rPr>
          <w:rFonts w:cstheme="minorHAnsi"/>
          <w:b/>
          <w:noProof/>
          <w:color w:val="0070C0"/>
          <w:sz w:val="32"/>
          <w:szCs w:val="32"/>
          <w:lang w:eastAsia="en-GB"/>
        </w:rPr>
        <mc:AlternateContent>
          <mc:Choice Requires="wps">
            <w:drawing>
              <wp:anchor distT="45720" distB="45720" distL="114300" distR="114300" simplePos="0" relativeHeight="251659264" behindDoc="0" locked="0" layoutInCell="1" allowOverlap="1" wp14:anchorId="5ADB16EE" wp14:editId="220B83E0">
                <wp:simplePos x="0" y="0"/>
                <wp:positionH relativeFrom="column">
                  <wp:posOffset>8284845</wp:posOffset>
                </wp:positionH>
                <wp:positionV relativeFrom="paragraph">
                  <wp:posOffset>0</wp:posOffset>
                </wp:positionV>
                <wp:extent cx="1193165" cy="581025"/>
                <wp:effectExtent l="0" t="0" r="698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81025"/>
                        </a:xfrm>
                        <a:prstGeom prst="rect">
                          <a:avLst/>
                        </a:prstGeom>
                        <a:solidFill>
                          <a:srgbClr val="FFFFFF"/>
                        </a:solidFill>
                        <a:ln w="9525">
                          <a:noFill/>
                          <a:miter lim="800000"/>
                          <a:headEnd/>
                          <a:tailEnd/>
                        </a:ln>
                      </wps:spPr>
                      <wps:txbx>
                        <w:txbxContent>
                          <w:p w14:paraId="44EC835D" w14:textId="77777777" w:rsidR="00726EC6" w:rsidRDefault="00726EC6" w:rsidP="00726EC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35pt;margin-top:0;width:93.9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IAIAAB0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" stroked="f">
                <v:textbox>
                  <w:txbxContent>
                    <w:p w:rsidR="00726EC6" w:rsidRDefault="00726EC6" w:rsidP="00726EC6">
                      <w:pPr>
                        <w:jc w:val="right"/>
                      </w:pPr>
                    </w:p>
                  </w:txbxContent>
                </v:textbox>
                <w10:wrap type="square"/>
              </v:shape>
            </w:pict>
          </mc:Fallback>
        </mc:AlternateContent>
      </w:r>
      <w:r w:rsidRPr="00A07072">
        <w:rPr>
          <w:rFonts w:cstheme="minorHAnsi"/>
          <w:b/>
          <w:color w:val="0070C0"/>
          <w:sz w:val="32"/>
          <w:szCs w:val="32"/>
        </w:rPr>
        <w:t xml:space="preserve">        </w:t>
      </w:r>
      <w:r w:rsidR="00706B8B" w:rsidRPr="00A07072">
        <w:rPr>
          <w:rFonts w:cstheme="minorHAnsi"/>
          <w:b/>
          <w:color w:val="0070C0"/>
          <w:sz w:val="32"/>
          <w:szCs w:val="32"/>
        </w:rPr>
        <w:t xml:space="preserve">  </w:t>
      </w:r>
      <w:r w:rsidRPr="00A07072">
        <w:rPr>
          <w:rFonts w:cstheme="minorHAnsi"/>
          <w:b/>
          <w:color w:val="0070C0"/>
          <w:sz w:val="32"/>
          <w:szCs w:val="32"/>
        </w:rPr>
        <w:t xml:space="preserve">  </w:t>
      </w:r>
      <w:r w:rsidR="00A07072">
        <w:rPr>
          <w:noProof/>
          <w:color w:val="000000"/>
          <w:lang w:eastAsia="en-GB"/>
        </w:rPr>
        <w:drawing>
          <wp:inline distT="0" distB="0" distL="0" distR="0" wp14:anchorId="2ECEF2EE" wp14:editId="544A6409">
            <wp:extent cx="940288" cy="486154"/>
            <wp:effectExtent l="0" t="0" r="0" b="9525"/>
            <wp:docPr id="4" name="Picture 4"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1315" cy="512537"/>
                    </a:xfrm>
                    <a:prstGeom prst="rect">
                      <a:avLst/>
                    </a:prstGeom>
                    <a:noFill/>
                    <a:ln>
                      <a:noFill/>
                    </a:ln>
                  </pic:spPr>
                </pic:pic>
              </a:graphicData>
            </a:graphic>
          </wp:inline>
        </w:drawing>
      </w:r>
    </w:p>
    <w:p w14:paraId="520F33F0" w14:textId="77777777" w:rsidR="00706B8B" w:rsidRPr="00A07072" w:rsidRDefault="009916F0" w:rsidP="00706B8B">
      <w:pPr>
        <w:jc w:val="center"/>
        <w:rPr>
          <w:rFonts w:cstheme="minorHAnsi"/>
          <w:b/>
          <w:color w:val="0070C0"/>
          <w:sz w:val="36"/>
          <w:szCs w:val="36"/>
          <w:u w:val="single"/>
        </w:rPr>
      </w:pPr>
      <w:r w:rsidRPr="00A07072">
        <w:rPr>
          <w:rFonts w:cstheme="minorHAnsi"/>
          <w:b/>
          <w:color w:val="0070C0"/>
          <w:sz w:val="32"/>
          <w:szCs w:val="32"/>
        </w:rPr>
        <w:t xml:space="preserve">                       </w:t>
      </w:r>
      <w:r w:rsidR="0086488C" w:rsidRPr="00A07072">
        <w:rPr>
          <w:rFonts w:cstheme="minorHAnsi"/>
          <w:b/>
          <w:color w:val="0070C0"/>
          <w:sz w:val="40"/>
          <w:szCs w:val="40"/>
          <w:u w:val="single"/>
        </w:rPr>
        <w:t xml:space="preserve">Remote Learning - </w:t>
      </w:r>
      <w:r w:rsidR="00A07072" w:rsidRPr="00A07072">
        <w:rPr>
          <w:rFonts w:cstheme="minorHAnsi"/>
          <w:b/>
          <w:color w:val="0070C0"/>
          <w:sz w:val="40"/>
          <w:szCs w:val="40"/>
          <w:u w:val="single"/>
        </w:rPr>
        <w:t>Summary</w:t>
      </w:r>
      <w:r w:rsidRPr="00A07072">
        <w:rPr>
          <w:rFonts w:cstheme="minorHAnsi"/>
          <w:b/>
          <w:color w:val="0070C0"/>
          <w:sz w:val="40"/>
          <w:szCs w:val="40"/>
          <w:u w:val="single"/>
        </w:rPr>
        <w:t xml:space="preserve"> for Governors</w:t>
      </w:r>
      <w:r w:rsidR="00726EC6" w:rsidRPr="00A07072">
        <w:rPr>
          <w:rFonts w:cstheme="minorHAnsi"/>
          <w:b/>
          <w:color w:val="0070C0"/>
          <w:sz w:val="36"/>
          <w:szCs w:val="36"/>
          <w:u w:val="single"/>
        </w:rPr>
        <w:t xml:space="preserve">      </w:t>
      </w:r>
    </w:p>
    <w:p w14:paraId="2C4851F5" w14:textId="77777777" w:rsidR="00A07072" w:rsidRDefault="00A07072" w:rsidP="0086488C">
      <w:pPr>
        <w:spacing w:after="0" w:line="240" w:lineRule="auto"/>
        <w:outlineLvl w:val="1"/>
        <w:rPr>
          <w:rFonts w:eastAsia="Times New Roman" w:cstheme="minorHAnsi"/>
          <w:b/>
          <w:bCs/>
          <w:color w:val="347186"/>
          <w:sz w:val="36"/>
          <w:szCs w:val="36"/>
          <w:lang w:eastAsia="en-GB"/>
        </w:rPr>
      </w:pPr>
    </w:p>
    <w:p w14:paraId="6D7D00B0" w14:textId="77777777" w:rsidR="00A07072" w:rsidRPr="00A07072" w:rsidRDefault="0086488C" w:rsidP="00A07072">
      <w:pPr>
        <w:rPr>
          <w:b/>
          <w:color w:val="0070C0"/>
          <w:sz w:val="28"/>
          <w:szCs w:val="28"/>
          <w:lang w:eastAsia="en-GB"/>
        </w:rPr>
      </w:pPr>
      <w:r w:rsidRPr="00A07072">
        <w:rPr>
          <w:b/>
          <w:color w:val="0070C0"/>
          <w:sz w:val="28"/>
          <w:szCs w:val="28"/>
          <w:lang w:eastAsia="en-GB"/>
        </w:rPr>
        <w:t>Remote learning during the pandemic</w:t>
      </w:r>
    </w:p>
    <w:p w14:paraId="6F905439" w14:textId="77777777" w:rsidR="0086488C" w:rsidRPr="0086488C" w:rsidRDefault="0086488C" w:rsidP="00A07072">
      <w:pPr>
        <w:rPr>
          <w:color w:val="686464"/>
          <w:sz w:val="24"/>
          <w:szCs w:val="24"/>
          <w:lang w:eastAsia="en-GB"/>
        </w:rPr>
      </w:pPr>
      <w:r w:rsidRPr="0086488C">
        <w:rPr>
          <w:color w:val="686464"/>
          <w:sz w:val="24"/>
          <w:szCs w:val="24"/>
          <w:lang w:eastAsia="en-GB"/>
        </w:rPr>
        <w:t>On 1 October 2020, the DfE published a temporary </w:t>
      </w:r>
      <w:hyperlink r:id="rId7" w:history="1">
        <w:r w:rsidRPr="00A07072">
          <w:rPr>
            <w:color w:val="007BFF"/>
            <w:sz w:val="24"/>
            <w:szCs w:val="24"/>
            <w:lang w:eastAsia="en-GB"/>
          </w:rPr>
          <w:t>continuity direction</w:t>
        </w:r>
      </w:hyperlink>
      <w:r w:rsidRPr="0086488C">
        <w:rPr>
          <w:color w:val="686464"/>
          <w:sz w:val="24"/>
          <w:szCs w:val="24"/>
          <w:lang w:eastAsia="en-GB"/>
        </w:rPr>
        <w:t xml:space="preserve"> under the Coronavirus Act 2020 stating that all state-funded schools have a legal duty to provide remote education for school-age children who are unable to attend school due to coronavirus (COVID-19).</w:t>
      </w:r>
    </w:p>
    <w:p w14:paraId="0EFC0B51" w14:textId="77777777" w:rsidR="0086488C" w:rsidRPr="0086488C" w:rsidRDefault="0086488C" w:rsidP="00A07072">
      <w:pPr>
        <w:rPr>
          <w:color w:val="686464"/>
          <w:sz w:val="24"/>
          <w:szCs w:val="24"/>
          <w:lang w:eastAsia="en-GB"/>
        </w:rPr>
      </w:pPr>
      <w:r w:rsidRPr="0086488C">
        <w:rPr>
          <w:color w:val="686464"/>
          <w:sz w:val="24"/>
          <w:szCs w:val="24"/>
          <w:lang w:eastAsia="en-GB"/>
        </w:rPr>
        <w:t>Following the period of national lockdown, announced on 4 January 2021, the DfE has released updated guidance ‘</w:t>
      </w:r>
      <w:hyperlink r:id="rId8" w:history="1">
        <w:r w:rsidRPr="00A07072">
          <w:rPr>
            <w:color w:val="007BFF"/>
            <w:sz w:val="24"/>
            <w:szCs w:val="24"/>
            <w:lang w:eastAsia="en-GB"/>
          </w:rPr>
          <w:t>Restricting attendance during the national lockdown: schools Guidance for all schools in England January 2021</w:t>
        </w:r>
      </w:hyperlink>
      <w:r w:rsidRPr="0086488C">
        <w:rPr>
          <w:color w:val="686464"/>
          <w:sz w:val="24"/>
          <w:szCs w:val="24"/>
          <w:lang w:eastAsia="en-GB"/>
        </w:rPr>
        <w:t>’ on how schools should operate during this time.</w:t>
      </w:r>
    </w:p>
    <w:p w14:paraId="764AD899" w14:textId="77777777" w:rsidR="0086488C" w:rsidRPr="0086488C" w:rsidRDefault="0086488C" w:rsidP="00A07072">
      <w:pPr>
        <w:rPr>
          <w:color w:val="686464"/>
          <w:sz w:val="24"/>
          <w:szCs w:val="24"/>
          <w:lang w:eastAsia="en-GB"/>
        </w:rPr>
      </w:pPr>
      <w:r w:rsidRPr="0086488C">
        <w:rPr>
          <w:color w:val="686464"/>
          <w:sz w:val="24"/>
          <w:szCs w:val="24"/>
          <w:lang w:eastAsia="en-GB"/>
        </w:rPr>
        <w:t xml:space="preserve">It is important that schools </w:t>
      </w:r>
      <w:r w:rsidR="00A07072">
        <w:rPr>
          <w:color w:val="686464"/>
          <w:sz w:val="24"/>
          <w:szCs w:val="24"/>
          <w:lang w:eastAsia="en-GB"/>
        </w:rPr>
        <w:t xml:space="preserve">(including governors) </w:t>
      </w:r>
      <w:r w:rsidRPr="0086488C">
        <w:rPr>
          <w:color w:val="686464"/>
          <w:sz w:val="24"/>
          <w:szCs w:val="24"/>
          <w:lang w:eastAsia="en-GB"/>
        </w:rPr>
        <w:t>understand their statutory responsibilities when providing remote education, and what the DfE expects schools to be able to provide remotely.</w:t>
      </w:r>
    </w:p>
    <w:p w14:paraId="30644BEF" w14:textId="77777777" w:rsidR="0086488C" w:rsidRPr="0086488C" w:rsidRDefault="0086488C" w:rsidP="00A07072">
      <w:pPr>
        <w:rPr>
          <w:color w:val="686464"/>
          <w:sz w:val="24"/>
          <w:szCs w:val="24"/>
          <w:lang w:eastAsia="en-GB"/>
        </w:rPr>
      </w:pPr>
      <w:r w:rsidRPr="0086488C">
        <w:rPr>
          <w:color w:val="686464"/>
          <w:sz w:val="24"/>
          <w:szCs w:val="24"/>
          <w:lang w:eastAsia="en-GB"/>
        </w:rPr>
        <w:t> </w:t>
      </w:r>
    </w:p>
    <w:p w14:paraId="12C1EE76" w14:textId="77777777" w:rsidR="0086488C" w:rsidRPr="00A07072" w:rsidRDefault="0086488C" w:rsidP="00A07072">
      <w:pPr>
        <w:rPr>
          <w:b/>
          <w:color w:val="0070C0"/>
          <w:sz w:val="28"/>
          <w:szCs w:val="28"/>
          <w:lang w:eastAsia="en-GB"/>
        </w:rPr>
      </w:pPr>
      <w:r w:rsidRPr="00A07072">
        <w:rPr>
          <w:b/>
          <w:color w:val="0070C0"/>
          <w:sz w:val="28"/>
          <w:szCs w:val="28"/>
          <w:lang w:eastAsia="en-GB"/>
        </w:rPr>
        <w:t>For how long, and to whom, does the direction apply?</w:t>
      </w:r>
    </w:p>
    <w:p w14:paraId="34E5E827" w14:textId="77777777" w:rsidR="0086488C" w:rsidRPr="0086488C" w:rsidRDefault="0086488C" w:rsidP="00A07072">
      <w:pPr>
        <w:rPr>
          <w:color w:val="686464"/>
          <w:sz w:val="24"/>
          <w:szCs w:val="24"/>
          <w:lang w:eastAsia="en-GB"/>
        </w:rPr>
      </w:pPr>
      <w:r w:rsidRPr="0086488C">
        <w:rPr>
          <w:color w:val="686464"/>
          <w:sz w:val="24"/>
          <w:szCs w:val="24"/>
          <w:lang w:eastAsia="en-GB"/>
        </w:rPr>
        <w:t>The temporary continuity direction is effective from 22 October 2020 until the end of the 2020/2021 academic year unless it is revoked by a further direction. It applies to the following schools in England:</w:t>
      </w:r>
    </w:p>
    <w:p w14:paraId="7307FE5A" w14:textId="77777777" w:rsidR="0086488C" w:rsidRPr="00A07072" w:rsidRDefault="0086488C" w:rsidP="00A07072">
      <w:pPr>
        <w:pStyle w:val="ListParagraph"/>
        <w:numPr>
          <w:ilvl w:val="0"/>
          <w:numId w:val="46"/>
        </w:numPr>
        <w:rPr>
          <w:color w:val="686464"/>
          <w:sz w:val="24"/>
          <w:szCs w:val="24"/>
          <w:lang w:eastAsia="en-GB"/>
        </w:rPr>
      </w:pPr>
      <w:r w:rsidRPr="00A07072">
        <w:rPr>
          <w:color w:val="686464"/>
          <w:sz w:val="24"/>
          <w:szCs w:val="24"/>
          <w:lang w:eastAsia="en-GB"/>
        </w:rPr>
        <w:t>Community schools and community special schools</w:t>
      </w:r>
    </w:p>
    <w:p w14:paraId="14B5A8E7" w14:textId="77777777" w:rsidR="0086488C" w:rsidRPr="00A07072" w:rsidRDefault="0086488C" w:rsidP="00A07072">
      <w:pPr>
        <w:pStyle w:val="ListParagraph"/>
        <w:numPr>
          <w:ilvl w:val="0"/>
          <w:numId w:val="46"/>
        </w:numPr>
        <w:rPr>
          <w:color w:val="686464"/>
          <w:sz w:val="24"/>
          <w:szCs w:val="24"/>
          <w:lang w:eastAsia="en-GB"/>
        </w:rPr>
      </w:pPr>
      <w:r w:rsidRPr="00A07072">
        <w:rPr>
          <w:color w:val="686464"/>
          <w:sz w:val="24"/>
          <w:szCs w:val="24"/>
          <w:lang w:eastAsia="en-GB"/>
        </w:rPr>
        <w:t>Foundation schools and foundation special schools</w:t>
      </w:r>
    </w:p>
    <w:p w14:paraId="181D501B" w14:textId="77777777" w:rsidR="0086488C" w:rsidRPr="00A07072" w:rsidRDefault="0086488C" w:rsidP="00A07072">
      <w:pPr>
        <w:pStyle w:val="ListParagraph"/>
        <w:numPr>
          <w:ilvl w:val="0"/>
          <w:numId w:val="46"/>
        </w:numPr>
        <w:rPr>
          <w:color w:val="686464"/>
          <w:sz w:val="24"/>
          <w:szCs w:val="24"/>
          <w:lang w:eastAsia="en-GB"/>
        </w:rPr>
      </w:pPr>
      <w:r w:rsidRPr="00A07072">
        <w:rPr>
          <w:color w:val="686464"/>
          <w:sz w:val="24"/>
          <w:szCs w:val="24"/>
          <w:lang w:eastAsia="en-GB"/>
        </w:rPr>
        <w:t>Voluntary schools</w:t>
      </w:r>
    </w:p>
    <w:p w14:paraId="3796D967" w14:textId="77777777" w:rsidR="0086488C" w:rsidRPr="00A07072" w:rsidRDefault="0086488C" w:rsidP="00A07072">
      <w:pPr>
        <w:pStyle w:val="ListParagraph"/>
        <w:numPr>
          <w:ilvl w:val="0"/>
          <w:numId w:val="46"/>
        </w:numPr>
        <w:rPr>
          <w:color w:val="686464"/>
          <w:sz w:val="24"/>
          <w:szCs w:val="24"/>
          <w:lang w:eastAsia="en-GB"/>
        </w:rPr>
      </w:pPr>
      <w:r w:rsidRPr="00A07072">
        <w:rPr>
          <w:color w:val="686464"/>
          <w:sz w:val="24"/>
          <w:szCs w:val="24"/>
          <w:lang w:eastAsia="en-GB"/>
        </w:rPr>
        <w:t>PRUs</w:t>
      </w:r>
    </w:p>
    <w:p w14:paraId="311F03BC" w14:textId="77777777" w:rsidR="0086488C" w:rsidRPr="00A07072" w:rsidRDefault="0086488C" w:rsidP="00A07072">
      <w:pPr>
        <w:pStyle w:val="ListParagraph"/>
        <w:numPr>
          <w:ilvl w:val="0"/>
          <w:numId w:val="46"/>
        </w:numPr>
        <w:rPr>
          <w:color w:val="686464"/>
          <w:sz w:val="24"/>
          <w:szCs w:val="24"/>
          <w:lang w:eastAsia="en-GB"/>
        </w:rPr>
      </w:pPr>
      <w:r w:rsidRPr="00A07072">
        <w:rPr>
          <w:color w:val="686464"/>
          <w:sz w:val="24"/>
          <w:szCs w:val="24"/>
          <w:lang w:eastAsia="en-GB"/>
        </w:rPr>
        <w:t>Non-maintained special schools</w:t>
      </w:r>
    </w:p>
    <w:p w14:paraId="0DDF096F" w14:textId="77777777" w:rsidR="00A07072" w:rsidRDefault="0086488C" w:rsidP="00A07072">
      <w:pPr>
        <w:pStyle w:val="ListParagraph"/>
        <w:numPr>
          <w:ilvl w:val="0"/>
          <w:numId w:val="46"/>
        </w:numPr>
        <w:rPr>
          <w:color w:val="686464"/>
          <w:sz w:val="24"/>
          <w:szCs w:val="24"/>
          <w:lang w:eastAsia="en-GB"/>
        </w:rPr>
      </w:pPr>
      <w:r w:rsidRPr="00A07072">
        <w:rPr>
          <w:color w:val="686464"/>
          <w:sz w:val="24"/>
          <w:szCs w:val="24"/>
          <w:lang w:eastAsia="en-GB"/>
        </w:rPr>
        <w:t>Academies and alternative provision academies</w:t>
      </w:r>
    </w:p>
    <w:p w14:paraId="40799B66" w14:textId="77777777" w:rsidR="0086488C" w:rsidRPr="00A07072" w:rsidRDefault="0086488C" w:rsidP="00A07072">
      <w:pPr>
        <w:pStyle w:val="ListParagraph"/>
        <w:numPr>
          <w:ilvl w:val="0"/>
          <w:numId w:val="46"/>
        </w:numPr>
        <w:rPr>
          <w:color w:val="686464"/>
          <w:sz w:val="24"/>
          <w:szCs w:val="24"/>
          <w:lang w:eastAsia="en-GB"/>
        </w:rPr>
      </w:pPr>
      <w:r w:rsidRPr="00A07072">
        <w:rPr>
          <w:color w:val="686464"/>
          <w:sz w:val="24"/>
          <w:szCs w:val="24"/>
          <w:lang w:eastAsia="en-GB"/>
        </w:rPr>
        <w:t>Independent schools that have registered pupils whose education at the school is paid for out of public funds received by the school from the Secretary of State, an LA or school in England</w:t>
      </w:r>
    </w:p>
    <w:p w14:paraId="144B7B1D" w14:textId="77777777" w:rsidR="0086488C" w:rsidRPr="0086488C" w:rsidRDefault="0086488C" w:rsidP="00A07072">
      <w:pPr>
        <w:rPr>
          <w:color w:val="686464"/>
          <w:sz w:val="24"/>
          <w:szCs w:val="24"/>
          <w:lang w:eastAsia="en-GB"/>
        </w:rPr>
      </w:pPr>
      <w:r w:rsidRPr="0086488C">
        <w:rPr>
          <w:color w:val="686464"/>
          <w:sz w:val="24"/>
          <w:szCs w:val="24"/>
          <w:lang w:eastAsia="en-GB"/>
        </w:rPr>
        <w:t> </w:t>
      </w:r>
    </w:p>
    <w:p w14:paraId="2EBEBFF5" w14:textId="77777777" w:rsidR="0086488C" w:rsidRPr="00A07072" w:rsidRDefault="0086488C" w:rsidP="00A07072">
      <w:pPr>
        <w:rPr>
          <w:b/>
          <w:color w:val="0070C0"/>
          <w:sz w:val="28"/>
          <w:szCs w:val="28"/>
          <w:lang w:eastAsia="en-GB"/>
        </w:rPr>
      </w:pPr>
      <w:r w:rsidRPr="00A07072">
        <w:rPr>
          <w:b/>
          <w:color w:val="0070C0"/>
          <w:sz w:val="28"/>
          <w:szCs w:val="28"/>
          <w:lang w:eastAsia="en-GB"/>
        </w:rPr>
        <w:t>What are the statutory requirements for schools?</w:t>
      </w:r>
    </w:p>
    <w:p w14:paraId="66D6EB39" w14:textId="77777777" w:rsidR="0086488C" w:rsidRPr="0086488C" w:rsidRDefault="0086488C" w:rsidP="00A07072">
      <w:pPr>
        <w:rPr>
          <w:color w:val="686464"/>
          <w:sz w:val="24"/>
          <w:szCs w:val="24"/>
          <w:lang w:eastAsia="en-GB"/>
        </w:rPr>
      </w:pPr>
      <w:r w:rsidRPr="0086488C">
        <w:rPr>
          <w:color w:val="686464"/>
          <w:sz w:val="24"/>
          <w:szCs w:val="24"/>
          <w:lang w:eastAsia="en-GB"/>
        </w:rPr>
        <w:t>The latest guidance is for schools during the national lockdown period and does not include maintained nursery schools or pre-reception classes.</w:t>
      </w:r>
    </w:p>
    <w:p w14:paraId="5E0AE603" w14:textId="77777777" w:rsidR="0086488C" w:rsidRPr="0086488C" w:rsidRDefault="0086488C" w:rsidP="00A07072">
      <w:pPr>
        <w:rPr>
          <w:color w:val="686464"/>
          <w:sz w:val="24"/>
          <w:szCs w:val="24"/>
          <w:lang w:eastAsia="en-GB"/>
        </w:rPr>
      </w:pPr>
      <w:r w:rsidRPr="0086488C">
        <w:rPr>
          <w:color w:val="686464"/>
          <w:sz w:val="24"/>
          <w:szCs w:val="24"/>
          <w:lang w:eastAsia="en-GB"/>
        </w:rPr>
        <w:t>Schools are expected to build on their existing remote education provision to ensure a strong offer is in place for all pupils.</w:t>
      </w:r>
    </w:p>
    <w:p w14:paraId="6326E80A" w14:textId="77777777" w:rsidR="0086488C" w:rsidRPr="0086488C" w:rsidRDefault="0086488C" w:rsidP="00A07072">
      <w:pPr>
        <w:rPr>
          <w:color w:val="686464"/>
          <w:sz w:val="24"/>
          <w:szCs w:val="24"/>
          <w:lang w:eastAsia="en-GB"/>
        </w:rPr>
      </w:pPr>
      <w:r w:rsidRPr="0086488C">
        <w:rPr>
          <w:color w:val="686464"/>
          <w:sz w:val="24"/>
          <w:szCs w:val="24"/>
          <w:lang w:eastAsia="en-GB"/>
        </w:rPr>
        <w:t> </w:t>
      </w:r>
    </w:p>
    <w:p w14:paraId="66A0B780" w14:textId="77777777" w:rsidR="0086488C" w:rsidRPr="00A07072" w:rsidRDefault="0086488C" w:rsidP="00A07072">
      <w:pPr>
        <w:rPr>
          <w:b/>
          <w:color w:val="0070C0"/>
          <w:sz w:val="29"/>
          <w:szCs w:val="29"/>
          <w:lang w:eastAsia="en-GB"/>
        </w:rPr>
      </w:pPr>
      <w:r w:rsidRPr="00A07072">
        <w:rPr>
          <w:b/>
          <w:color w:val="0070C0"/>
          <w:sz w:val="29"/>
          <w:szCs w:val="29"/>
          <w:lang w:eastAsia="en-GB"/>
        </w:rPr>
        <w:t>Timings</w:t>
      </w:r>
    </w:p>
    <w:p w14:paraId="3EAC8A9C" w14:textId="77777777" w:rsidR="0086488C" w:rsidRPr="0086488C" w:rsidRDefault="0086488C" w:rsidP="00A07072">
      <w:pPr>
        <w:rPr>
          <w:color w:val="686464"/>
          <w:sz w:val="24"/>
          <w:szCs w:val="24"/>
          <w:lang w:eastAsia="en-GB"/>
        </w:rPr>
      </w:pPr>
      <w:r w:rsidRPr="0086488C">
        <w:rPr>
          <w:color w:val="686464"/>
          <w:sz w:val="24"/>
          <w:szCs w:val="24"/>
          <w:lang w:eastAsia="en-GB"/>
        </w:rPr>
        <w:t>The remote education provided should be equivalent in length to the core teaching pupils would normally receive in school. It is expected that this will include a mix of recorded and/or live direct teaching time, alongside time for pupils to complete tasks and assignments independently.</w:t>
      </w:r>
    </w:p>
    <w:p w14:paraId="7C4E45BB" w14:textId="77777777" w:rsidR="0086488C" w:rsidRPr="0086488C" w:rsidRDefault="0086488C" w:rsidP="00A07072">
      <w:pPr>
        <w:rPr>
          <w:color w:val="686464"/>
          <w:sz w:val="24"/>
          <w:szCs w:val="24"/>
          <w:lang w:eastAsia="en-GB"/>
        </w:rPr>
      </w:pPr>
      <w:r w:rsidRPr="0086488C">
        <w:rPr>
          <w:color w:val="686464"/>
          <w:sz w:val="24"/>
          <w:szCs w:val="24"/>
          <w:lang w:eastAsia="en-GB"/>
        </w:rPr>
        <w:lastRenderedPageBreak/>
        <w:t>The minimum amount of remote education provided should be:</w:t>
      </w:r>
    </w:p>
    <w:p w14:paraId="61D60693" w14:textId="77777777" w:rsidR="0086488C" w:rsidRPr="00A07072" w:rsidRDefault="0086488C" w:rsidP="00A07072">
      <w:pPr>
        <w:pStyle w:val="ListParagraph"/>
        <w:numPr>
          <w:ilvl w:val="0"/>
          <w:numId w:val="45"/>
        </w:numPr>
        <w:rPr>
          <w:color w:val="686464"/>
          <w:sz w:val="24"/>
          <w:szCs w:val="24"/>
          <w:lang w:eastAsia="en-GB"/>
        </w:rPr>
      </w:pPr>
      <w:r w:rsidRPr="00A07072">
        <w:rPr>
          <w:color w:val="686464"/>
          <w:sz w:val="24"/>
          <w:szCs w:val="24"/>
          <w:lang w:eastAsia="en-GB"/>
        </w:rPr>
        <w:t>KS1: 3 hours a day on average across the cohort, with less for younger children</w:t>
      </w:r>
    </w:p>
    <w:p w14:paraId="6AC7281E" w14:textId="77777777" w:rsidR="0086488C" w:rsidRPr="00A07072" w:rsidRDefault="0086488C" w:rsidP="00A07072">
      <w:pPr>
        <w:pStyle w:val="ListParagraph"/>
        <w:numPr>
          <w:ilvl w:val="0"/>
          <w:numId w:val="45"/>
        </w:numPr>
        <w:rPr>
          <w:color w:val="686464"/>
          <w:sz w:val="24"/>
          <w:szCs w:val="24"/>
          <w:lang w:eastAsia="en-GB"/>
        </w:rPr>
      </w:pPr>
      <w:r w:rsidRPr="00A07072">
        <w:rPr>
          <w:color w:val="686464"/>
          <w:sz w:val="24"/>
          <w:szCs w:val="24"/>
          <w:lang w:eastAsia="en-GB"/>
        </w:rPr>
        <w:t>KS2: 4 hours a day</w:t>
      </w:r>
    </w:p>
    <w:p w14:paraId="755AE442" w14:textId="77777777" w:rsidR="0086488C" w:rsidRPr="0086488C" w:rsidRDefault="0086488C" w:rsidP="00A07072">
      <w:pPr>
        <w:rPr>
          <w:color w:val="686464"/>
          <w:sz w:val="24"/>
          <w:szCs w:val="24"/>
          <w:lang w:eastAsia="en-GB"/>
        </w:rPr>
      </w:pPr>
      <w:r w:rsidRPr="0086488C">
        <w:rPr>
          <w:color w:val="686464"/>
          <w:sz w:val="24"/>
          <w:szCs w:val="24"/>
          <w:lang w:eastAsia="en-GB"/>
        </w:rPr>
        <w:t> </w:t>
      </w:r>
    </w:p>
    <w:p w14:paraId="3AF39E67" w14:textId="77777777" w:rsidR="0086488C" w:rsidRPr="00A07072" w:rsidRDefault="0086488C" w:rsidP="00A07072">
      <w:pPr>
        <w:rPr>
          <w:b/>
          <w:color w:val="0070C0"/>
          <w:sz w:val="29"/>
          <w:szCs w:val="29"/>
          <w:lang w:eastAsia="en-GB"/>
        </w:rPr>
      </w:pPr>
      <w:r w:rsidRPr="00A07072">
        <w:rPr>
          <w:b/>
          <w:color w:val="0070C0"/>
          <w:sz w:val="29"/>
          <w:szCs w:val="29"/>
          <w:lang w:eastAsia="en-GB"/>
        </w:rPr>
        <w:t>Administration</w:t>
      </w:r>
    </w:p>
    <w:p w14:paraId="2F10BAF2" w14:textId="77777777" w:rsidR="0086488C" w:rsidRPr="0086488C" w:rsidRDefault="0086488C" w:rsidP="00A07072">
      <w:pPr>
        <w:rPr>
          <w:color w:val="686464"/>
          <w:sz w:val="24"/>
          <w:szCs w:val="24"/>
          <w:lang w:eastAsia="en-GB"/>
        </w:rPr>
      </w:pPr>
      <w:r w:rsidRPr="0086488C">
        <w:rPr>
          <w:color w:val="686464"/>
          <w:sz w:val="24"/>
          <w:szCs w:val="24"/>
          <w:lang w:eastAsia="en-GB"/>
        </w:rPr>
        <w:t>Schools are expected to:</w:t>
      </w:r>
    </w:p>
    <w:p w14:paraId="2FE0B47A" w14:textId="77777777" w:rsidR="0086488C" w:rsidRPr="00A07072" w:rsidRDefault="0086488C" w:rsidP="00A07072">
      <w:pPr>
        <w:pStyle w:val="ListParagraph"/>
        <w:numPr>
          <w:ilvl w:val="0"/>
          <w:numId w:val="44"/>
        </w:numPr>
        <w:rPr>
          <w:color w:val="686464"/>
          <w:sz w:val="24"/>
          <w:szCs w:val="24"/>
          <w:lang w:eastAsia="en-GB"/>
        </w:rPr>
      </w:pPr>
      <w:r w:rsidRPr="00A07072">
        <w:rPr>
          <w:color w:val="686464"/>
          <w:sz w:val="24"/>
          <w:szCs w:val="24"/>
          <w:lang w:eastAsia="en-GB"/>
        </w:rPr>
        <w:t>Have appropriate systems for checking attendance and levels of pupil engagement each day, and work with families to rapidly identify effective solutions where engagement is a concern.</w:t>
      </w:r>
    </w:p>
    <w:p w14:paraId="5A7868A3" w14:textId="77777777" w:rsidR="0086488C" w:rsidRPr="00A07072" w:rsidRDefault="0086488C" w:rsidP="00A07072">
      <w:pPr>
        <w:pStyle w:val="ListParagraph"/>
        <w:numPr>
          <w:ilvl w:val="0"/>
          <w:numId w:val="44"/>
        </w:numPr>
        <w:rPr>
          <w:color w:val="686464"/>
          <w:sz w:val="24"/>
          <w:szCs w:val="24"/>
          <w:lang w:eastAsia="en-GB"/>
        </w:rPr>
      </w:pPr>
      <w:r w:rsidRPr="00A07072">
        <w:rPr>
          <w:color w:val="686464"/>
          <w:sz w:val="24"/>
          <w:szCs w:val="24"/>
          <w:lang w:eastAsia="en-GB"/>
        </w:rPr>
        <w:t xml:space="preserve">Continue to record daily attendance in the school registers. For more details on how to record attendance in relation to coronavirus, take a look at the DfE’s addendum </w:t>
      </w:r>
      <w:hyperlink r:id="rId9" w:history="1">
        <w:r w:rsidRPr="00A07072">
          <w:rPr>
            <w:color w:val="007BFF"/>
            <w:sz w:val="24"/>
            <w:szCs w:val="24"/>
            <w:lang w:eastAsia="en-GB"/>
          </w:rPr>
          <w:t>here</w:t>
        </w:r>
      </w:hyperlink>
      <w:r w:rsidRPr="00A07072">
        <w:rPr>
          <w:color w:val="686464"/>
          <w:sz w:val="24"/>
          <w:szCs w:val="24"/>
          <w:lang w:eastAsia="en-GB"/>
        </w:rPr>
        <w:t>.</w:t>
      </w:r>
    </w:p>
    <w:p w14:paraId="58531785" w14:textId="77777777" w:rsidR="0086488C" w:rsidRPr="00A07072" w:rsidRDefault="0086488C" w:rsidP="00A07072">
      <w:pPr>
        <w:pStyle w:val="ListParagraph"/>
        <w:numPr>
          <w:ilvl w:val="0"/>
          <w:numId w:val="44"/>
        </w:numPr>
        <w:rPr>
          <w:color w:val="686464"/>
          <w:sz w:val="24"/>
          <w:szCs w:val="24"/>
          <w:lang w:eastAsia="en-GB"/>
        </w:rPr>
      </w:pPr>
      <w:r w:rsidRPr="00A07072">
        <w:rPr>
          <w:color w:val="686464"/>
          <w:sz w:val="24"/>
          <w:szCs w:val="24"/>
          <w:lang w:eastAsia="en-GB"/>
        </w:rPr>
        <w:t>Identify a named senior leader with responsibility for ensuring that remote learning provision meets national expectations and monitor and review its delivery and quality.</w:t>
      </w:r>
    </w:p>
    <w:p w14:paraId="06BA2F26" w14:textId="77777777" w:rsidR="0086488C" w:rsidRPr="00A07072" w:rsidRDefault="0086488C" w:rsidP="00A07072">
      <w:pPr>
        <w:pStyle w:val="ListParagraph"/>
        <w:numPr>
          <w:ilvl w:val="0"/>
          <w:numId w:val="44"/>
        </w:numPr>
        <w:rPr>
          <w:color w:val="686464"/>
          <w:sz w:val="24"/>
          <w:szCs w:val="24"/>
          <w:lang w:eastAsia="en-GB"/>
        </w:rPr>
      </w:pPr>
      <w:r w:rsidRPr="00A07072">
        <w:rPr>
          <w:color w:val="686464"/>
          <w:sz w:val="24"/>
          <w:szCs w:val="24"/>
          <w:lang w:eastAsia="en-GB"/>
        </w:rPr>
        <w:t>Publish information for pupils, parents’ and carers about their remote education provision on their website by 25 January 2021.</w:t>
      </w:r>
    </w:p>
    <w:p w14:paraId="2FAF7283" w14:textId="77777777" w:rsidR="0086488C" w:rsidRPr="0086488C" w:rsidRDefault="0086488C" w:rsidP="00A07072">
      <w:pPr>
        <w:rPr>
          <w:color w:val="686464"/>
          <w:sz w:val="24"/>
          <w:szCs w:val="24"/>
          <w:lang w:eastAsia="en-GB"/>
        </w:rPr>
      </w:pPr>
      <w:r w:rsidRPr="0086488C">
        <w:rPr>
          <w:color w:val="686464"/>
          <w:sz w:val="24"/>
          <w:szCs w:val="24"/>
          <w:lang w:eastAsia="en-GB"/>
        </w:rPr>
        <w:t> </w:t>
      </w:r>
    </w:p>
    <w:p w14:paraId="78C8DDC8" w14:textId="77777777" w:rsidR="0086488C" w:rsidRPr="00A07072" w:rsidRDefault="0086488C" w:rsidP="00A07072">
      <w:pPr>
        <w:rPr>
          <w:b/>
          <w:color w:val="0070C0"/>
          <w:sz w:val="29"/>
          <w:szCs w:val="29"/>
          <w:lang w:eastAsia="en-GB"/>
        </w:rPr>
      </w:pPr>
      <w:r w:rsidRPr="00A07072">
        <w:rPr>
          <w:b/>
          <w:color w:val="0070C0"/>
          <w:sz w:val="29"/>
          <w:szCs w:val="29"/>
          <w:lang w:eastAsia="en-GB"/>
        </w:rPr>
        <w:t>Addressing technical issues and access to IT equipment</w:t>
      </w:r>
    </w:p>
    <w:p w14:paraId="4CF14BD3" w14:textId="77777777" w:rsidR="0086488C" w:rsidRPr="0086488C" w:rsidRDefault="0086488C" w:rsidP="00A07072">
      <w:pPr>
        <w:rPr>
          <w:color w:val="686464"/>
          <w:sz w:val="24"/>
          <w:szCs w:val="24"/>
          <w:lang w:eastAsia="en-GB"/>
        </w:rPr>
      </w:pPr>
      <w:r w:rsidRPr="0086488C">
        <w:rPr>
          <w:color w:val="686464"/>
          <w:sz w:val="24"/>
          <w:szCs w:val="24"/>
          <w:lang w:eastAsia="en-GB"/>
        </w:rPr>
        <w:t>Schools are expected to:</w:t>
      </w:r>
    </w:p>
    <w:p w14:paraId="5FF6B564" w14:textId="77777777" w:rsidR="0086488C" w:rsidRPr="00A07072" w:rsidRDefault="0086488C" w:rsidP="00A07072">
      <w:pPr>
        <w:pStyle w:val="ListParagraph"/>
        <w:numPr>
          <w:ilvl w:val="0"/>
          <w:numId w:val="43"/>
        </w:numPr>
        <w:rPr>
          <w:color w:val="686464"/>
          <w:sz w:val="24"/>
          <w:szCs w:val="24"/>
          <w:lang w:eastAsia="en-GB"/>
        </w:rPr>
      </w:pPr>
      <w:r w:rsidRPr="00A07072">
        <w:rPr>
          <w:color w:val="686464"/>
          <w:sz w:val="24"/>
          <w:szCs w:val="24"/>
          <w:lang w:eastAsia="en-GB"/>
        </w:rPr>
        <w:t>Select a digital platform that will be used consistently across the school, with staff trained and confident in its use.</w:t>
      </w:r>
    </w:p>
    <w:p w14:paraId="1699B212" w14:textId="77777777" w:rsidR="0086488C" w:rsidRPr="00A07072" w:rsidRDefault="0086488C" w:rsidP="00A07072">
      <w:pPr>
        <w:pStyle w:val="ListParagraph"/>
        <w:numPr>
          <w:ilvl w:val="0"/>
          <w:numId w:val="43"/>
        </w:numPr>
        <w:rPr>
          <w:color w:val="686464"/>
          <w:sz w:val="24"/>
          <w:szCs w:val="24"/>
          <w:lang w:eastAsia="en-GB"/>
        </w:rPr>
      </w:pPr>
      <w:r w:rsidRPr="00A07072">
        <w:rPr>
          <w:color w:val="686464"/>
          <w:sz w:val="24"/>
          <w:szCs w:val="24"/>
          <w:lang w:eastAsia="en-GB"/>
        </w:rPr>
        <w:t>Distribute school-owned laptops accompanied by a user agreement or contract.</w:t>
      </w:r>
    </w:p>
    <w:p w14:paraId="21510FDE" w14:textId="77777777" w:rsidR="0086488C" w:rsidRPr="00A07072" w:rsidRDefault="0086488C" w:rsidP="00A07072">
      <w:pPr>
        <w:pStyle w:val="ListParagraph"/>
        <w:numPr>
          <w:ilvl w:val="0"/>
          <w:numId w:val="43"/>
        </w:numPr>
        <w:rPr>
          <w:color w:val="686464"/>
          <w:sz w:val="24"/>
          <w:szCs w:val="24"/>
          <w:lang w:eastAsia="en-GB"/>
        </w:rPr>
      </w:pPr>
      <w:r w:rsidRPr="00A07072">
        <w:rPr>
          <w:color w:val="686464"/>
          <w:sz w:val="24"/>
          <w:szCs w:val="24"/>
          <w:lang w:eastAsia="en-GB"/>
        </w:rPr>
        <w:t>Where appropriate, provide printed resources, such as textbooks and workbooks, to structure learning, supplemented with other forms of communication to keep pupils on track or answer questions about work.</w:t>
      </w:r>
    </w:p>
    <w:p w14:paraId="3DDA7B62" w14:textId="77777777" w:rsidR="0086488C" w:rsidRPr="00A07072" w:rsidRDefault="0086488C" w:rsidP="00A07072">
      <w:pPr>
        <w:pStyle w:val="ListParagraph"/>
        <w:numPr>
          <w:ilvl w:val="0"/>
          <w:numId w:val="43"/>
        </w:numPr>
        <w:rPr>
          <w:color w:val="686464"/>
          <w:sz w:val="24"/>
          <w:szCs w:val="24"/>
          <w:lang w:eastAsia="en-GB"/>
        </w:rPr>
      </w:pPr>
      <w:r w:rsidRPr="00A07072">
        <w:rPr>
          <w:color w:val="686464"/>
          <w:sz w:val="24"/>
          <w:szCs w:val="24"/>
          <w:lang w:eastAsia="en-GB"/>
        </w:rPr>
        <w:t>Enable pupils who have difficulty engaging in remote education to attend provision in person as ‘eligible vulnerable children’.</w:t>
      </w:r>
    </w:p>
    <w:p w14:paraId="01BC403D" w14:textId="77777777" w:rsidR="0086488C" w:rsidRPr="0086488C" w:rsidRDefault="0086488C" w:rsidP="00A07072">
      <w:pPr>
        <w:rPr>
          <w:color w:val="686464"/>
          <w:sz w:val="24"/>
          <w:szCs w:val="24"/>
          <w:lang w:eastAsia="en-GB"/>
        </w:rPr>
      </w:pPr>
      <w:r w:rsidRPr="0086488C">
        <w:rPr>
          <w:color w:val="686464"/>
          <w:sz w:val="24"/>
          <w:szCs w:val="24"/>
          <w:lang w:eastAsia="en-GB"/>
        </w:rPr>
        <w:t> </w:t>
      </w:r>
    </w:p>
    <w:p w14:paraId="2DF90B46" w14:textId="77777777" w:rsidR="0086488C" w:rsidRPr="00A07072" w:rsidRDefault="0086488C" w:rsidP="00A07072">
      <w:pPr>
        <w:rPr>
          <w:b/>
          <w:color w:val="0070C0"/>
          <w:sz w:val="29"/>
          <w:szCs w:val="29"/>
          <w:lang w:eastAsia="en-GB"/>
        </w:rPr>
      </w:pPr>
      <w:r w:rsidRPr="00A07072">
        <w:rPr>
          <w:b/>
          <w:color w:val="0070C0"/>
          <w:sz w:val="29"/>
          <w:szCs w:val="29"/>
          <w:lang w:eastAsia="en-GB"/>
        </w:rPr>
        <w:t>Curriculum, teaching and learning</w:t>
      </w:r>
    </w:p>
    <w:p w14:paraId="46324F3A" w14:textId="77777777" w:rsidR="0086488C" w:rsidRPr="0086488C" w:rsidRDefault="0086488C" w:rsidP="00A07072">
      <w:pPr>
        <w:rPr>
          <w:color w:val="686464"/>
          <w:sz w:val="24"/>
          <w:szCs w:val="24"/>
          <w:lang w:eastAsia="en-GB"/>
        </w:rPr>
      </w:pPr>
      <w:r w:rsidRPr="0086488C">
        <w:rPr>
          <w:color w:val="686464"/>
          <w:sz w:val="24"/>
          <w:szCs w:val="24"/>
          <w:lang w:eastAsia="en-GB"/>
        </w:rPr>
        <w:t>Schools are expected to:</w:t>
      </w:r>
    </w:p>
    <w:p w14:paraId="131649E7" w14:textId="77777777" w:rsidR="0086488C" w:rsidRPr="00A07072" w:rsidRDefault="0086488C" w:rsidP="00A07072">
      <w:pPr>
        <w:pStyle w:val="ListParagraph"/>
        <w:numPr>
          <w:ilvl w:val="0"/>
          <w:numId w:val="42"/>
        </w:numPr>
        <w:rPr>
          <w:color w:val="686464"/>
          <w:sz w:val="24"/>
          <w:szCs w:val="24"/>
          <w:lang w:eastAsia="en-GB"/>
        </w:rPr>
      </w:pPr>
      <w:r w:rsidRPr="00A07072">
        <w:rPr>
          <w:color w:val="686464"/>
          <w:sz w:val="24"/>
          <w:szCs w:val="24"/>
          <w:lang w:eastAsia="en-GB"/>
        </w:rPr>
        <w:t>Teach a planned and well-sequenced curriculum so that knowledge and skills are built incrementally, with a good level of clarity about what is intended to be taught and practised in each subject so that pupils can progress through the school’s curriculum.</w:t>
      </w:r>
    </w:p>
    <w:p w14:paraId="591DD09F" w14:textId="77777777" w:rsidR="0086488C" w:rsidRPr="00A07072" w:rsidRDefault="0086488C" w:rsidP="00A07072">
      <w:pPr>
        <w:pStyle w:val="ListParagraph"/>
        <w:numPr>
          <w:ilvl w:val="0"/>
          <w:numId w:val="42"/>
        </w:numPr>
        <w:rPr>
          <w:color w:val="686464"/>
          <w:sz w:val="24"/>
          <w:szCs w:val="24"/>
          <w:lang w:eastAsia="en-GB"/>
        </w:rPr>
      </w:pPr>
      <w:r w:rsidRPr="00A07072">
        <w:rPr>
          <w:color w:val="686464"/>
          <w:sz w:val="24"/>
          <w:szCs w:val="24"/>
          <w:lang w:eastAsia="en-GB"/>
        </w:rPr>
        <w:t>Set meaningful and ambitious work each day in an appropriate range of subjects.</w:t>
      </w:r>
    </w:p>
    <w:p w14:paraId="67D95C52" w14:textId="77777777" w:rsidR="0086488C" w:rsidRPr="00A07072" w:rsidRDefault="0086488C" w:rsidP="00A07072">
      <w:pPr>
        <w:pStyle w:val="ListParagraph"/>
        <w:numPr>
          <w:ilvl w:val="0"/>
          <w:numId w:val="42"/>
        </w:numPr>
        <w:rPr>
          <w:color w:val="686464"/>
          <w:sz w:val="24"/>
          <w:szCs w:val="24"/>
          <w:lang w:eastAsia="en-GB"/>
        </w:rPr>
      </w:pPr>
      <w:r w:rsidRPr="00A07072">
        <w:rPr>
          <w:color w:val="686464"/>
          <w:sz w:val="24"/>
          <w:szCs w:val="24"/>
          <w:lang w:eastAsia="en-GB"/>
        </w:rPr>
        <w:t>Provide frequent, clear explanations of new content, delivered by a teacher or through high-quality curriculum resources.</w:t>
      </w:r>
    </w:p>
    <w:p w14:paraId="18B79999" w14:textId="77777777" w:rsidR="0086488C" w:rsidRPr="00A07072" w:rsidRDefault="0086488C" w:rsidP="00A07072">
      <w:pPr>
        <w:pStyle w:val="ListParagraph"/>
        <w:numPr>
          <w:ilvl w:val="0"/>
          <w:numId w:val="42"/>
        </w:numPr>
        <w:rPr>
          <w:color w:val="686464"/>
          <w:sz w:val="24"/>
          <w:szCs w:val="24"/>
          <w:lang w:eastAsia="en-GB"/>
        </w:rPr>
      </w:pPr>
      <w:r w:rsidRPr="00A07072">
        <w:rPr>
          <w:color w:val="686464"/>
          <w:sz w:val="24"/>
          <w:szCs w:val="24"/>
          <w:lang w:eastAsia="en-GB"/>
        </w:rPr>
        <w:t>Provide opportunities for interactivity, including questioning, eliciting and reflective discussion.</w:t>
      </w:r>
    </w:p>
    <w:p w14:paraId="568C33F5" w14:textId="77777777" w:rsidR="0086488C" w:rsidRPr="00A07072" w:rsidRDefault="0086488C" w:rsidP="00A07072">
      <w:pPr>
        <w:pStyle w:val="ListParagraph"/>
        <w:numPr>
          <w:ilvl w:val="0"/>
          <w:numId w:val="42"/>
        </w:numPr>
        <w:rPr>
          <w:color w:val="686464"/>
          <w:sz w:val="24"/>
          <w:szCs w:val="24"/>
          <w:lang w:eastAsia="en-GB"/>
        </w:rPr>
      </w:pPr>
      <w:r w:rsidRPr="00A07072">
        <w:rPr>
          <w:color w:val="686464"/>
          <w:sz w:val="24"/>
          <w:szCs w:val="24"/>
          <w:lang w:eastAsia="en-GB"/>
        </w:rPr>
        <w:t>Provide scaffolded practice and opportunities to apply new knowledge.</w:t>
      </w:r>
    </w:p>
    <w:p w14:paraId="5BB232BE" w14:textId="77777777" w:rsidR="0086488C" w:rsidRPr="00A07072" w:rsidRDefault="0086488C" w:rsidP="00A07072">
      <w:pPr>
        <w:pStyle w:val="ListParagraph"/>
        <w:numPr>
          <w:ilvl w:val="0"/>
          <w:numId w:val="42"/>
        </w:numPr>
        <w:rPr>
          <w:color w:val="686464"/>
          <w:sz w:val="24"/>
          <w:szCs w:val="24"/>
          <w:lang w:eastAsia="en-GB"/>
        </w:rPr>
      </w:pPr>
      <w:r w:rsidRPr="00A07072">
        <w:rPr>
          <w:color w:val="686464"/>
          <w:sz w:val="24"/>
          <w:szCs w:val="24"/>
          <w:lang w:eastAsia="en-GB"/>
        </w:rPr>
        <w:t xml:space="preserve">Provide pupils with timely and frequent feedback on how to progress, using </w:t>
      </w:r>
      <w:proofErr w:type="gramStart"/>
      <w:r w:rsidRPr="00A07072">
        <w:rPr>
          <w:color w:val="686464"/>
          <w:sz w:val="24"/>
          <w:szCs w:val="24"/>
          <w:lang w:eastAsia="en-GB"/>
        </w:rPr>
        <w:t>digitally-facilitated</w:t>
      </w:r>
      <w:proofErr w:type="gramEnd"/>
      <w:r w:rsidRPr="00A07072">
        <w:rPr>
          <w:color w:val="686464"/>
          <w:sz w:val="24"/>
          <w:szCs w:val="24"/>
          <w:lang w:eastAsia="en-GB"/>
        </w:rPr>
        <w:t xml:space="preserve"> or whole-class feedback, where appropriate.</w:t>
      </w:r>
    </w:p>
    <w:p w14:paraId="5E517CB6" w14:textId="77777777" w:rsidR="0086488C" w:rsidRPr="00A07072" w:rsidRDefault="0086488C" w:rsidP="00A07072">
      <w:pPr>
        <w:pStyle w:val="ListParagraph"/>
        <w:numPr>
          <w:ilvl w:val="0"/>
          <w:numId w:val="42"/>
        </w:numPr>
        <w:rPr>
          <w:color w:val="686464"/>
          <w:sz w:val="24"/>
          <w:szCs w:val="24"/>
          <w:lang w:eastAsia="en-GB"/>
        </w:rPr>
      </w:pPr>
      <w:r w:rsidRPr="00A07072">
        <w:rPr>
          <w:color w:val="686464"/>
          <w:sz w:val="24"/>
          <w:szCs w:val="24"/>
          <w:lang w:eastAsia="en-GB"/>
        </w:rPr>
        <w:lastRenderedPageBreak/>
        <w:t>Use assessment to ensure teaching is responsive to pupils’ needs and addresses any critical gaps in pupils’ knowledge.</w:t>
      </w:r>
    </w:p>
    <w:p w14:paraId="772A3C36" w14:textId="77777777" w:rsidR="0086488C" w:rsidRPr="00A07072" w:rsidRDefault="0086488C" w:rsidP="00A07072">
      <w:pPr>
        <w:pStyle w:val="ListParagraph"/>
        <w:numPr>
          <w:ilvl w:val="0"/>
          <w:numId w:val="42"/>
        </w:numPr>
        <w:rPr>
          <w:color w:val="686464"/>
          <w:sz w:val="24"/>
          <w:szCs w:val="24"/>
          <w:lang w:eastAsia="en-GB"/>
        </w:rPr>
      </w:pPr>
      <w:r w:rsidRPr="00A07072">
        <w:rPr>
          <w:color w:val="686464"/>
          <w:sz w:val="24"/>
          <w:szCs w:val="24"/>
          <w:lang w:eastAsia="en-GB"/>
        </w:rPr>
        <w:t>Avoid an over-reliance on long-term projects or internet research activities.</w:t>
      </w:r>
    </w:p>
    <w:p w14:paraId="2A54EB9D" w14:textId="77777777" w:rsidR="0086488C" w:rsidRPr="0086488C" w:rsidRDefault="0086488C" w:rsidP="00A07072">
      <w:pPr>
        <w:rPr>
          <w:color w:val="686464"/>
          <w:sz w:val="24"/>
          <w:szCs w:val="24"/>
          <w:lang w:eastAsia="en-GB"/>
        </w:rPr>
      </w:pPr>
      <w:r w:rsidRPr="0086488C">
        <w:rPr>
          <w:color w:val="686464"/>
          <w:sz w:val="24"/>
          <w:szCs w:val="24"/>
          <w:lang w:eastAsia="en-GB"/>
        </w:rPr>
        <w:t> </w:t>
      </w:r>
    </w:p>
    <w:p w14:paraId="16DFB397" w14:textId="77777777" w:rsidR="0086488C" w:rsidRPr="00A07072" w:rsidRDefault="0086488C" w:rsidP="00A07072">
      <w:pPr>
        <w:rPr>
          <w:b/>
          <w:color w:val="0070C0"/>
          <w:sz w:val="29"/>
          <w:szCs w:val="29"/>
          <w:lang w:eastAsia="en-GB"/>
        </w:rPr>
      </w:pPr>
      <w:r w:rsidRPr="00A07072">
        <w:rPr>
          <w:b/>
          <w:color w:val="0070C0"/>
          <w:sz w:val="29"/>
          <w:szCs w:val="29"/>
          <w:lang w:eastAsia="en-GB"/>
        </w:rPr>
        <w:t>Monitoring and reviewing</w:t>
      </w:r>
    </w:p>
    <w:p w14:paraId="1EF95B42" w14:textId="77777777" w:rsidR="0086488C" w:rsidRPr="0086488C" w:rsidRDefault="0086488C" w:rsidP="00A07072">
      <w:pPr>
        <w:rPr>
          <w:color w:val="686464"/>
          <w:sz w:val="24"/>
          <w:szCs w:val="24"/>
          <w:lang w:eastAsia="en-GB"/>
        </w:rPr>
      </w:pPr>
      <w:r w:rsidRPr="0086488C">
        <w:rPr>
          <w:color w:val="686464"/>
          <w:sz w:val="24"/>
          <w:szCs w:val="24"/>
          <w:lang w:eastAsia="en-GB"/>
        </w:rPr>
        <w:t>Senior leadership teams and governors are expected to:</w:t>
      </w:r>
    </w:p>
    <w:p w14:paraId="5F2EBDAE" w14:textId="77777777" w:rsidR="0086488C" w:rsidRPr="00A07072" w:rsidRDefault="0086488C" w:rsidP="00A07072">
      <w:pPr>
        <w:pStyle w:val="ListParagraph"/>
        <w:numPr>
          <w:ilvl w:val="0"/>
          <w:numId w:val="41"/>
        </w:numPr>
        <w:rPr>
          <w:color w:val="686464"/>
          <w:sz w:val="24"/>
          <w:szCs w:val="24"/>
          <w:lang w:eastAsia="en-GB"/>
        </w:rPr>
      </w:pPr>
      <w:r w:rsidRPr="00A07072">
        <w:rPr>
          <w:color w:val="686464"/>
          <w:sz w:val="24"/>
          <w:szCs w:val="24"/>
          <w:lang w:eastAsia="en-GB"/>
        </w:rPr>
        <w:t>Assure themselves that their remote education offer meets the expectations in the DfE’s guidance by reviewing and self-assessing their current practice.</w:t>
      </w:r>
    </w:p>
    <w:p w14:paraId="1F2F99B9" w14:textId="77777777" w:rsidR="0086488C" w:rsidRPr="00A07072" w:rsidRDefault="0086488C" w:rsidP="00A07072">
      <w:pPr>
        <w:pStyle w:val="ListParagraph"/>
        <w:numPr>
          <w:ilvl w:val="0"/>
          <w:numId w:val="41"/>
        </w:numPr>
        <w:rPr>
          <w:color w:val="686464"/>
          <w:sz w:val="24"/>
          <w:szCs w:val="24"/>
          <w:lang w:eastAsia="en-GB"/>
        </w:rPr>
      </w:pPr>
      <w:r w:rsidRPr="00A07072">
        <w:rPr>
          <w:color w:val="686464"/>
          <w:sz w:val="24"/>
          <w:szCs w:val="24"/>
          <w:lang w:eastAsia="en-GB"/>
        </w:rPr>
        <w:t>Consider the remote learning expectations in relation to the pupils’ age, stage of development or special educational needs which may make digital provision a particular challenge, such as requiring high levels of parental involvement to support engagement with remote education.</w:t>
      </w:r>
    </w:p>
    <w:p w14:paraId="00291C10" w14:textId="77777777" w:rsidR="0086488C" w:rsidRPr="00A07072" w:rsidRDefault="0086488C" w:rsidP="00A07072">
      <w:pPr>
        <w:pStyle w:val="ListParagraph"/>
        <w:numPr>
          <w:ilvl w:val="0"/>
          <w:numId w:val="41"/>
        </w:numPr>
        <w:rPr>
          <w:color w:val="686464"/>
          <w:sz w:val="24"/>
          <w:szCs w:val="24"/>
          <w:lang w:eastAsia="en-GB"/>
        </w:rPr>
      </w:pPr>
      <w:r w:rsidRPr="00A07072">
        <w:rPr>
          <w:color w:val="686464"/>
          <w:sz w:val="24"/>
          <w:szCs w:val="24"/>
          <w:lang w:eastAsia="en-GB"/>
        </w:rPr>
        <w:t>Work with families to deliver an ambitious curriculum appropriate for their level of need and adapt remote learning for these individuals and groups accordingly. For example, by not expecting that only digital means will be used to teach these pupils remotely.</w:t>
      </w:r>
    </w:p>
    <w:p w14:paraId="44263AB9" w14:textId="77777777" w:rsidR="0086488C" w:rsidRPr="00A07072" w:rsidRDefault="0086488C" w:rsidP="00A07072">
      <w:pPr>
        <w:pStyle w:val="ListParagraph"/>
        <w:numPr>
          <w:ilvl w:val="0"/>
          <w:numId w:val="41"/>
        </w:numPr>
        <w:rPr>
          <w:color w:val="686464"/>
          <w:sz w:val="24"/>
          <w:szCs w:val="24"/>
          <w:lang w:eastAsia="en-GB"/>
        </w:rPr>
      </w:pPr>
      <w:r w:rsidRPr="00A07072">
        <w:rPr>
          <w:color w:val="686464"/>
          <w:sz w:val="24"/>
          <w:szCs w:val="24"/>
          <w:lang w:eastAsia="en-GB"/>
        </w:rPr>
        <w:t>Consider how to transfer into remote education what is already known about effective teaching in the classroom.</w:t>
      </w:r>
    </w:p>
    <w:p w14:paraId="09A7ABCB" w14:textId="77777777" w:rsidR="0086488C" w:rsidRPr="0086488C" w:rsidRDefault="0086488C" w:rsidP="00A07072">
      <w:pPr>
        <w:rPr>
          <w:color w:val="686464"/>
          <w:sz w:val="24"/>
          <w:szCs w:val="24"/>
          <w:lang w:eastAsia="en-GB"/>
        </w:rPr>
      </w:pPr>
      <w:r w:rsidRPr="0086488C">
        <w:rPr>
          <w:color w:val="686464"/>
          <w:sz w:val="24"/>
          <w:szCs w:val="24"/>
          <w:lang w:eastAsia="en-GB"/>
        </w:rPr>
        <w:t> </w:t>
      </w:r>
    </w:p>
    <w:p w14:paraId="007651C8" w14:textId="77777777" w:rsidR="0086488C" w:rsidRPr="00A07072" w:rsidRDefault="0086488C" w:rsidP="00A07072">
      <w:pPr>
        <w:rPr>
          <w:b/>
          <w:color w:val="0070C0"/>
          <w:sz w:val="29"/>
          <w:szCs w:val="29"/>
          <w:lang w:eastAsia="en-GB"/>
        </w:rPr>
      </w:pPr>
      <w:r w:rsidRPr="00A07072">
        <w:rPr>
          <w:b/>
          <w:color w:val="0070C0"/>
          <w:sz w:val="29"/>
          <w:szCs w:val="29"/>
          <w:lang w:eastAsia="en-GB"/>
        </w:rPr>
        <w:t>Ofsted and accountability</w:t>
      </w:r>
    </w:p>
    <w:p w14:paraId="562C20A0" w14:textId="77777777" w:rsidR="0086488C" w:rsidRPr="0086488C" w:rsidRDefault="0086488C" w:rsidP="00A07072">
      <w:pPr>
        <w:rPr>
          <w:color w:val="686464"/>
          <w:sz w:val="24"/>
          <w:szCs w:val="24"/>
          <w:lang w:eastAsia="en-GB"/>
        </w:rPr>
      </w:pPr>
      <w:r w:rsidRPr="0086488C">
        <w:rPr>
          <w:color w:val="686464"/>
          <w:sz w:val="24"/>
          <w:szCs w:val="24"/>
          <w:lang w:eastAsia="en-GB"/>
        </w:rPr>
        <w:t>While Ofsted’s routine graded inspections remain suspended, starting in the Spring Term, Ofsted will conduct monitoring inspections of schools most in need of challenge and support – i.e. those previously judged inadequate or requiring improvement.</w:t>
      </w:r>
    </w:p>
    <w:p w14:paraId="75EC7217" w14:textId="77777777" w:rsidR="0086488C" w:rsidRPr="0086488C" w:rsidRDefault="0086488C" w:rsidP="00A07072">
      <w:pPr>
        <w:rPr>
          <w:color w:val="686464"/>
          <w:sz w:val="24"/>
          <w:szCs w:val="24"/>
          <w:lang w:eastAsia="en-GB"/>
        </w:rPr>
      </w:pPr>
      <w:r w:rsidRPr="0086488C">
        <w:rPr>
          <w:color w:val="686464"/>
          <w:sz w:val="24"/>
          <w:szCs w:val="24"/>
          <w:lang w:eastAsia="en-GB"/>
        </w:rPr>
        <w:t>In these inspections</w:t>
      </w:r>
      <w:r w:rsidR="00A07072">
        <w:rPr>
          <w:color w:val="686464"/>
          <w:sz w:val="24"/>
          <w:szCs w:val="24"/>
          <w:lang w:eastAsia="en-GB"/>
        </w:rPr>
        <w:t>,</w:t>
      </w:r>
      <w:r w:rsidRPr="0086488C">
        <w:rPr>
          <w:color w:val="686464"/>
          <w:sz w:val="24"/>
          <w:szCs w:val="24"/>
          <w:lang w:eastAsia="en-GB"/>
        </w:rPr>
        <w:t xml:space="preserve"> the quality of schools’ remote education will be inspected against the expectations set out in the guidance.</w:t>
      </w:r>
    </w:p>
    <w:p w14:paraId="0AE1CB1A" w14:textId="77777777" w:rsidR="0086488C" w:rsidRPr="0086488C" w:rsidRDefault="0086488C" w:rsidP="00A07072">
      <w:pPr>
        <w:rPr>
          <w:color w:val="686464"/>
          <w:sz w:val="24"/>
          <w:szCs w:val="24"/>
          <w:lang w:eastAsia="en-GB"/>
        </w:rPr>
      </w:pPr>
      <w:r w:rsidRPr="0086488C">
        <w:rPr>
          <w:color w:val="686464"/>
          <w:sz w:val="24"/>
          <w:szCs w:val="24"/>
          <w:lang w:eastAsia="en-GB"/>
        </w:rPr>
        <w:t>Ofsted will inspect schools where it has significant concerns about the quality of remote education being provided. Such concerns could be triggered by parents complaining about remote education directly to Ofsted.</w:t>
      </w:r>
    </w:p>
    <w:p w14:paraId="133969E8" w14:textId="77777777" w:rsidR="0086488C" w:rsidRPr="0086488C" w:rsidRDefault="0086488C" w:rsidP="00A07072">
      <w:pPr>
        <w:rPr>
          <w:color w:val="686464"/>
          <w:sz w:val="24"/>
          <w:szCs w:val="24"/>
          <w:lang w:eastAsia="en-GB"/>
        </w:rPr>
      </w:pPr>
      <w:r w:rsidRPr="0086488C">
        <w:rPr>
          <w:color w:val="686464"/>
          <w:sz w:val="24"/>
          <w:szCs w:val="24"/>
          <w:lang w:eastAsia="en-GB"/>
        </w:rPr>
        <w:t> </w:t>
      </w:r>
    </w:p>
    <w:p w14:paraId="1CA0AB5F" w14:textId="77777777" w:rsidR="0086488C" w:rsidRDefault="0086488C" w:rsidP="00A07072">
      <w:pPr>
        <w:rPr>
          <w:color w:val="0070C0"/>
          <w:sz w:val="28"/>
          <w:szCs w:val="28"/>
          <w:u w:val="single"/>
        </w:rPr>
      </w:pPr>
    </w:p>
    <w:sectPr w:rsidR="0086488C" w:rsidSect="00A07072">
      <w:pgSz w:w="11906" w:h="16838"/>
      <w:pgMar w:top="8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739"/>
    <w:multiLevelType w:val="hybridMultilevel"/>
    <w:tmpl w:val="D700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863B0"/>
    <w:multiLevelType w:val="hybridMultilevel"/>
    <w:tmpl w:val="66B22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B0592"/>
    <w:multiLevelType w:val="hybridMultilevel"/>
    <w:tmpl w:val="C6EA8F04"/>
    <w:lvl w:ilvl="0" w:tplc="2E944E40">
      <w:start w:val="1"/>
      <w:numFmt w:val="bullet"/>
      <w:lvlText w:val="•"/>
      <w:lvlJc w:val="left"/>
      <w:pPr>
        <w:ind w:left="360" w:hanging="360"/>
      </w:pPr>
      <w:rPr>
        <w:rFonts w:ascii="Arial" w:hAnsi="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2CDD"/>
    <w:multiLevelType w:val="hybridMultilevel"/>
    <w:tmpl w:val="9F3C5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F3837"/>
    <w:multiLevelType w:val="hybridMultilevel"/>
    <w:tmpl w:val="B630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012E1"/>
    <w:multiLevelType w:val="hybridMultilevel"/>
    <w:tmpl w:val="45D8F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B2595E"/>
    <w:multiLevelType w:val="hybridMultilevel"/>
    <w:tmpl w:val="84E84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F5D79"/>
    <w:multiLevelType w:val="hybridMultilevel"/>
    <w:tmpl w:val="44E094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D6011"/>
    <w:multiLevelType w:val="hybridMultilevel"/>
    <w:tmpl w:val="717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74982"/>
    <w:multiLevelType w:val="hybridMultilevel"/>
    <w:tmpl w:val="7A6C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15D3D"/>
    <w:multiLevelType w:val="hybridMultilevel"/>
    <w:tmpl w:val="FD28B0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89222B9"/>
    <w:multiLevelType w:val="hybridMultilevel"/>
    <w:tmpl w:val="FE604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E5FA6"/>
    <w:multiLevelType w:val="hybridMultilevel"/>
    <w:tmpl w:val="C3B20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683C80"/>
    <w:multiLevelType w:val="hybridMultilevel"/>
    <w:tmpl w:val="607A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A145D1"/>
    <w:multiLevelType w:val="hybridMultilevel"/>
    <w:tmpl w:val="5CDE2C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C16B8E"/>
    <w:multiLevelType w:val="hybridMultilevel"/>
    <w:tmpl w:val="EE86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362FA"/>
    <w:multiLevelType w:val="multilevel"/>
    <w:tmpl w:val="D9B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B1717"/>
    <w:multiLevelType w:val="hybridMultilevel"/>
    <w:tmpl w:val="CEAAF4A4"/>
    <w:lvl w:ilvl="0" w:tplc="FF1C7A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A2A80"/>
    <w:multiLevelType w:val="hybridMultilevel"/>
    <w:tmpl w:val="7C7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D1A40"/>
    <w:multiLevelType w:val="hybridMultilevel"/>
    <w:tmpl w:val="98C2D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B1F8F"/>
    <w:multiLevelType w:val="multilevel"/>
    <w:tmpl w:val="F16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64985"/>
    <w:multiLevelType w:val="hybridMultilevel"/>
    <w:tmpl w:val="3E3C0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B57BF3"/>
    <w:multiLevelType w:val="hybridMultilevel"/>
    <w:tmpl w:val="BB1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D457E"/>
    <w:multiLevelType w:val="multilevel"/>
    <w:tmpl w:val="471A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86908"/>
    <w:multiLevelType w:val="hybridMultilevel"/>
    <w:tmpl w:val="71846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B31F5A"/>
    <w:multiLevelType w:val="hybridMultilevel"/>
    <w:tmpl w:val="D0C4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E3D6F"/>
    <w:multiLevelType w:val="hybridMultilevel"/>
    <w:tmpl w:val="6DA2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52E1B"/>
    <w:multiLevelType w:val="multilevel"/>
    <w:tmpl w:val="1ABC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A5390"/>
    <w:multiLevelType w:val="hybridMultilevel"/>
    <w:tmpl w:val="1B7CA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F12D76"/>
    <w:multiLevelType w:val="hybridMultilevel"/>
    <w:tmpl w:val="907A04C4"/>
    <w:lvl w:ilvl="0" w:tplc="9CC6D7C6">
      <w:start w:val="121"/>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E01058"/>
    <w:multiLevelType w:val="hybridMultilevel"/>
    <w:tmpl w:val="746E1F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2817BE"/>
    <w:multiLevelType w:val="hybridMultilevel"/>
    <w:tmpl w:val="F9B8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A3C11"/>
    <w:multiLevelType w:val="hybridMultilevel"/>
    <w:tmpl w:val="2E6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459AB"/>
    <w:multiLevelType w:val="hybridMultilevel"/>
    <w:tmpl w:val="6E10D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827C5E"/>
    <w:multiLevelType w:val="hybridMultilevel"/>
    <w:tmpl w:val="0F30D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F65881"/>
    <w:multiLevelType w:val="hybridMultilevel"/>
    <w:tmpl w:val="188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00926"/>
    <w:multiLevelType w:val="hybridMultilevel"/>
    <w:tmpl w:val="C304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922A66"/>
    <w:multiLevelType w:val="hybridMultilevel"/>
    <w:tmpl w:val="6B980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6256B3"/>
    <w:multiLevelType w:val="hybridMultilevel"/>
    <w:tmpl w:val="AC305F56"/>
    <w:lvl w:ilvl="0" w:tplc="1284B708">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A3BD6"/>
    <w:multiLevelType w:val="hybridMultilevel"/>
    <w:tmpl w:val="8A86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656DE"/>
    <w:multiLevelType w:val="hybridMultilevel"/>
    <w:tmpl w:val="83B066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D055BC"/>
    <w:multiLevelType w:val="multilevel"/>
    <w:tmpl w:val="C89E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FB0EA1"/>
    <w:multiLevelType w:val="hybridMultilevel"/>
    <w:tmpl w:val="E2CA11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173AFF"/>
    <w:multiLevelType w:val="multilevel"/>
    <w:tmpl w:val="F92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C45F0"/>
    <w:multiLevelType w:val="hybridMultilevel"/>
    <w:tmpl w:val="ECE804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466A75"/>
    <w:multiLevelType w:val="hybridMultilevel"/>
    <w:tmpl w:val="B37C0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3"/>
  </w:num>
  <w:num w:numId="3">
    <w:abstractNumId w:val="45"/>
  </w:num>
  <w:num w:numId="4">
    <w:abstractNumId w:val="26"/>
  </w:num>
  <w:num w:numId="5">
    <w:abstractNumId w:val="21"/>
  </w:num>
  <w:num w:numId="6">
    <w:abstractNumId w:val="31"/>
  </w:num>
  <w:num w:numId="7">
    <w:abstractNumId w:val="11"/>
  </w:num>
  <w:num w:numId="8">
    <w:abstractNumId w:val="44"/>
  </w:num>
  <w:num w:numId="9">
    <w:abstractNumId w:val="5"/>
  </w:num>
  <w:num w:numId="10">
    <w:abstractNumId w:val="37"/>
  </w:num>
  <w:num w:numId="11">
    <w:abstractNumId w:val="6"/>
  </w:num>
  <w:num w:numId="12">
    <w:abstractNumId w:val="38"/>
  </w:num>
  <w:num w:numId="13">
    <w:abstractNumId w:val="10"/>
  </w:num>
  <w:num w:numId="14">
    <w:abstractNumId w:val="24"/>
  </w:num>
  <w:num w:numId="15">
    <w:abstractNumId w:val="40"/>
  </w:num>
  <w:num w:numId="16">
    <w:abstractNumId w:val="30"/>
  </w:num>
  <w:num w:numId="17">
    <w:abstractNumId w:val="3"/>
  </w:num>
  <w:num w:numId="18">
    <w:abstractNumId w:val="35"/>
  </w:num>
  <w:num w:numId="19">
    <w:abstractNumId w:val="0"/>
  </w:num>
  <w:num w:numId="20">
    <w:abstractNumId w:val="17"/>
  </w:num>
  <w:num w:numId="21">
    <w:abstractNumId w:val="36"/>
  </w:num>
  <w:num w:numId="22">
    <w:abstractNumId w:val="13"/>
  </w:num>
  <w:num w:numId="23">
    <w:abstractNumId w:val="15"/>
  </w:num>
  <w:num w:numId="24">
    <w:abstractNumId w:val="2"/>
  </w:num>
  <w:num w:numId="25">
    <w:abstractNumId w:val="1"/>
  </w:num>
  <w:num w:numId="26">
    <w:abstractNumId w:val="19"/>
  </w:num>
  <w:num w:numId="27">
    <w:abstractNumId w:val="14"/>
  </w:num>
  <w:num w:numId="28">
    <w:abstractNumId w:val="9"/>
  </w:num>
  <w:num w:numId="29">
    <w:abstractNumId w:val="34"/>
  </w:num>
  <w:num w:numId="30">
    <w:abstractNumId w:val="42"/>
  </w:num>
  <w:num w:numId="31">
    <w:abstractNumId w:val="7"/>
  </w:num>
  <w:num w:numId="32">
    <w:abstractNumId w:val="28"/>
  </w:num>
  <w:num w:numId="33">
    <w:abstractNumId w:val="12"/>
  </w:num>
  <w:num w:numId="34">
    <w:abstractNumId w:val="29"/>
  </w:num>
  <w:num w:numId="35">
    <w:abstractNumId w:val="23"/>
  </w:num>
  <w:num w:numId="36">
    <w:abstractNumId w:val="27"/>
  </w:num>
  <w:num w:numId="37">
    <w:abstractNumId w:val="16"/>
  </w:num>
  <w:num w:numId="38">
    <w:abstractNumId w:val="43"/>
  </w:num>
  <w:num w:numId="39">
    <w:abstractNumId w:val="41"/>
  </w:num>
  <w:num w:numId="40">
    <w:abstractNumId w:val="20"/>
  </w:num>
  <w:num w:numId="41">
    <w:abstractNumId w:val="18"/>
  </w:num>
  <w:num w:numId="42">
    <w:abstractNumId w:val="22"/>
  </w:num>
  <w:num w:numId="43">
    <w:abstractNumId w:val="32"/>
  </w:num>
  <w:num w:numId="44">
    <w:abstractNumId w:val="8"/>
  </w:num>
  <w:num w:numId="45">
    <w:abstractNumId w:val="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E9"/>
    <w:rsid w:val="00032F7D"/>
    <w:rsid w:val="00054DA7"/>
    <w:rsid w:val="0008389F"/>
    <w:rsid w:val="000A2D66"/>
    <w:rsid w:val="000E51AE"/>
    <w:rsid w:val="000E53CC"/>
    <w:rsid w:val="00105E4B"/>
    <w:rsid w:val="00112597"/>
    <w:rsid w:val="00126087"/>
    <w:rsid w:val="00161125"/>
    <w:rsid w:val="00187124"/>
    <w:rsid w:val="001E4640"/>
    <w:rsid w:val="001F1459"/>
    <w:rsid w:val="001F2AAC"/>
    <w:rsid w:val="002467A1"/>
    <w:rsid w:val="00247FD6"/>
    <w:rsid w:val="0025595E"/>
    <w:rsid w:val="002A0FD2"/>
    <w:rsid w:val="002B760B"/>
    <w:rsid w:val="00354215"/>
    <w:rsid w:val="003A498A"/>
    <w:rsid w:val="004017A5"/>
    <w:rsid w:val="00406893"/>
    <w:rsid w:val="0042764F"/>
    <w:rsid w:val="004B355F"/>
    <w:rsid w:val="004E1178"/>
    <w:rsid w:val="005240B2"/>
    <w:rsid w:val="00620FA1"/>
    <w:rsid w:val="006460F3"/>
    <w:rsid w:val="0068219A"/>
    <w:rsid w:val="00695AF5"/>
    <w:rsid w:val="006B4EB2"/>
    <w:rsid w:val="006E11AA"/>
    <w:rsid w:val="00704712"/>
    <w:rsid w:val="00706B8B"/>
    <w:rsid w:val="00726EC6"/>
    <w:rsid w:val="00767363"/>
    <w:rsid w:val="007A47F8"/>
    <w:rsid w:val="007C7B9D"/>
    <w:rsid w:val="008364ED"/>
    <w:rsid w:val="0084668C"/>
    <w:rsid w:val="0086488C"/>
    <w:rsid w:val="00890EBA"/>
    <w:rsid w:val="008D0AC8"/>
    <w:rsid w:val="008F1114"/>
    <w:rsid w:val="009470ED"/>
    <w:rsid w:val="00985ACF"/>
    <w:rsid w:val="00987253"/>
    <w:rsid w:val="009906DF"/>
    <w:rsid w:val="009916F0"/>
    <w:rsid w:val="009E43AE"/>
    <w:rsid w:val="00A07072"/>
    <w:rsid w:val="00A755E8"/>
    <w:rsid w:val="00AE230F"/>
    <w:rsid w:val="00AF14D8"/>
    <w:rsid w:val="00B05B27"/>
    <w:rsid w:val="00B3159B"/>
    <w:rsid w:val="00B43E6D"/>
    <w:rsid w:val="00BC5BC2"/>
    <w:rsid w:val="00BD4441"/>
    <w:rsid w:val="00BF14F8"/>
    <w:rsid w:val="00C660FB"/>
    <w:rsid w:val="00CC2778"/>
    <w:rsid w:val="00CE4296"/>
    <w:rsid w:val="00CE52E9"/>
    <w:rsid w:val="00CF22D4"/>
    <w:rsid w:val="00DE039E"/>
    <w:rsid w:val="00E000E9"/>
    <w:rsid w:val="00F218CC"/>
    <w:rsid w:val="00F23E0A"/>
    <w:rsid w:val="00F24B7A"/>
    <w:rsid w:val="00F40AC1"/>
    <w:rsid w:val="00F5171C"/>
    <w:rsid w:val="00F72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D01B"/>
  <w15:chartTrackingRefBased/>
  <w15:docId w15:val="{918CC7F8-DCCA-4C1B-ACB6-51791C66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48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6488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459"/>
    <w:pPr>
      <w:ind w:left="720"/>
      <w:contextualSpacing/>
    </w:pPr>
  </w:style>
  <w:style w:type="paragraph" w:styleId="NoSpacing">
    <w:name w:val="No Spacing"/>
    <w:uiPriority w:val="1"/>
    <w:qFormat/>
    <w:rsid w:val="003A498A"/>
    <w:pPr>
      <w:spacing w:after="0" w:line="240" w:lineRule="auto"/>
    </w:pPr>
  </w:style>
  <w:style w:type="paragraph" w:customStyle="1" w:styleId="mainHeading1">
    <w:name w:val="mainHeading1"/>
    <w:basedOn w:val="Header"/>
    <w:next w:val="Normal"/>
    <w:rsid w:val="00CC2778"/>
    <w:pPr>
      <w:keepNext/>
      <w:pageBreakBefore/>
      <w:pBdr>
        <w:bottom w:val="single" w:sz="40" w:space="5" w:color="C0C0C0"/>
      </w:pBdr>
      <w:tabs>
        <w:tab w:val="clear" w:pos="4513"/>
        <w:tab w:val="clear" w:pos="9026"/>
        <w:tab w:val="center" w:pos="4680"/>
        <w:tab w:val="right" w:pos="9360"/>
      </w:tabs>
      <w:suppressAutoHyphens/>
      <w:spacing w:before="120" w:after="120"/>
    </w:pPr>
    <w:rPr>
      <w:rFonts w:ascii="Verdana" w:eastAsia="Times" w:hAnsi="Verdana" w:cs="Calibri"/>
      <w:b/>
      <w:color w:val="000080"/>
      <w:sz w:val="40"/>
      <w:szCs w:val="20"/>
      <w:lang w:eastAsia="ar-SA"/>
    </w:rPr>
  </w:style>
  <w:style w:type="paragraph" w:styleId="Header">
    <w:name w:val="header"/>
    <w:basedOn w:val="Normal"/>
    <w:link w:val="HeaderChar"/>
    <w:uiPriority w:val="99"/>
    <w:semiHidden/>
    <w:unhideWhenUsed/>
    <w:rsid w:val="00CC27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2778"/>
  </w:style>
  <w:style w:type="character" w:customStyle="1" w:styleId="Heading2Char">
    <w:name w:val="Heading 2 Char"/>
    <w:basedOn w:val="DefaultParagraphFont"/>
    <w:link w:val="Heading2"/>
    <w:uiPriority w:val="9"/>
    <w:rsid w:val="0086488C"/>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6488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648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4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28012">
      <w:bodyDiv w:val="1"/>
      <w:marLeft w:val="0"/>
      <w:marRight w:val="0"/>
      <w:marTop w:val="0"/>
      <w:marBottom w:val="0"/>
      <w:divBdr>
        <w:top w:val="none" w:sz="0" w:space="0" w:color="auto"/>
        <w:left w:val="none" w:sz="0" w:space="0" w:color="auto"/>
        <w:bottom w:val="none" w:sz="0" w:space="0" w:color="auto"/>
        <w:right w:val="none" w:sz="0" w:space="0" w:color="auto"/>
      </w:divBdr>
    </w:div>
    <w:div w:id="1015888083">
      <w:bodyDiv w:val="1"/>
      <w:marLeft w:val="0"/>
      <w:marRight w:val="0"/>
      <w:marTop w:val="0"/>
      <w:marBottom w:val="0"/>
      <w:divBdr>
        <w:top w:val="none" w:sz="0" w:space="0" w:color="auto"/>
        <w:left w:val="none" w:sz="0" w:space="0" w:color="auto"/>
        <w:bottom w:val="none" w:sz="0" w:space="0" w:color="auto"/>
        <w:right w:val="none" w:sz="0" w:space="0" w:color="auto"/>
      </w:divBdr>
    </w:div>
    <w:div w:id="1781141064">
      <w:bodyDiv w:val="1"/>
      <w:marLeft w:val="0"/>
      <w:marRight w:val="0"/>
      <w:marTop w:val="0"/>
      <w:marBottom w:val="0"/>
      <w:divBdr>
        <w:top w:val="none" w:sz="0" w:space="0" w:color="auto"/>
        <w:left w:val="none" w:sz="0" w:space="0" w:color="auto"/>
        <w:bottom w:val="none" w:sz="0" w:space="0" w:color="auto"/>
        <w:right w:val="none" w:sz="0" w:space="0" w:color="auto"/>
      </w:divBdr>
    </w:div>
    <w:div w:id="17863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3" Type="http://schemas.openxmlformats.org/officeDocument/2006/relationships/settings" Target="settings.xml"/><Relationship Id="rId7" Type="http://schemas.openxmlformats.org/officeDocument/2006/relationships/hyperlink" Target="https://www.thegazette.co.uk/notice/3642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865a4556-1054-453c-a003-afbb6aea007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chool-attendance/addendum-recording-attendance-in-relation-to-coronavirus-covid-19-during-the-2020-to-2021-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Rigby</dc:creator>
  <cp:keywords/>
  <dc:description/>
  <cp:lastModifiedBy>Tina Gregory-Pretty</cp:lastModifiedBy>
  <cp:revision>2</cp:revision>
  <dcterms:created xsi:type="dcterms:W3CDTF">2021-01-28T15:51:00Z</dcterms:created>
  <dcterms:modified xsi:type="dcterms:W3CDTF">2021-01-28T15:51:00Z</dcterms:modified>
</cp:coreProperties>
</file>